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CC" w:rsidRDefault="008E4B90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val="en-US"/>
        </w:rPr>
        <w:drawing>
          <wp:anchor distT="0" distB="0" distL="0" distR="0" simplePos="0" relativeHeight="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-311785</wp:posOffset>
            </wp:positionV>
            <wp:extent cx="923290" cy="1234592"/>
            <wp:effectExtent l="19050" t="19050" r="10160" b="22860"/>
            <wp:wrapNone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923290" cy="1234592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FFFF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4"/>
          <w:szCs w:val="24"/>
        </w:rPr>
        <w:t>Nissy Mathew</w:t>
      </w:r>
    </w:p>
    <w:p w:rsidR="00E63DCC" w:rsidRDefault="008E4B90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Bapuji Pharmacy College, </w:t>
      </w:r>
    </w:p>
    <w:p w:rsidR="00E63DCC" w:rsidRDefault="008E4B90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Davangere,</w:t>
      </w:r>
    </w:p>
    <w:p w:rsidR="00E63DCC" w:rsidRDefault="008E4B90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Karnataka</w:t>
      </w:r>
    </w:p>
    <w:p w:rsidR="00E63DCC" w:rsidRDefault="008E4B90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Mobile: +918075082304/ +919206318036</w:t>
      </w:r>
    </w:p>
    <w:p w:rsidR="00E63DCC" w:rsidRDefault="008E4B90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Email: Mathewnissy0@gmail.com</w:t>
      </w:r>
    </w:p>
    <w:p w:rsidR="00E63DCC" w:rsidRDefault="008E4B90">
      <w:pPr>
        <w:pStyle w:val="NoSpacing"/>
      </w:pPr>
      <w:r>
        <w:t>__________________________________________________________________________________</w:t>
      </w:r>
    </w:p>
    <w:p w:rsidR="00E63DCC" w:rsidRDefault="00E63DCC">
      <w:pPr>
        <w:pStyle w:val="NoSpacing"/>
      </w:pPr>
    </w:p>
    <w:p w:rsidR="00E63DCC" w:rsidRDefault="008E4B90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Career Objective: -</w:t>
      </w:r>
    </w:p>
    <w:p w:rsidR="00E63DCC" w:rsidRDefault="008E4B9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be a part of</w:t>
      </w:r>
      <w:r>
        <w:rPr>
          <w:rFonts w:ascii="Verdana" w:hAnsi="Verdana"/>
          <w:sz w:val="20"/>
          <w:szCs w:val="20"/>
        </w:rPr>
        <w:t xml:space="preserve"> well-established Healthcare organization that will lead to long-lasting relationship in the field of Pharmaceuticals, where I can utilize the essential elements of my qualification, experience and personal skills for the betterment of the organisation.</w:t>
      </w:r>
    </w:p>
    <w:p w:rsidR="00E63DCC" w:rsidRDefault="008E4B90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Pr</w:t>
      </w:r>
      <w:r>
        <w:rPr>
          <w:rFonts w:ascii="Verdana" w:hAnsi="Verdana"/>
          <w:b/>
          <w:sz w:val="24"/>
          <w:szCs w:val="24"/>
          <w:u w:val="single"/>
        </w:rPr>
        <w:t>ofessional Qualification: -</w:t>
      </w:r>
    </w:p>
    <w:p w:rsidR="00E63DCC" w:rsidRDefault="008E4B90">
      <w:pPr>
        <w:pStyle w:val="ListParagraph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Passed Doctor of Pharmacy (Pharm D) from Rajiv Gandhi University of Health Sciences, Bangalore, Karnataka.</w:t>
      </w:r>
    </w:p>
    <w:tbl>
      <w:tblPr>
        <w:tblW w:w="7802" w:type="dxa"/>
        <w:tblInd w:w="6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33"/>
        <w:gridCol w:w="1488"/>
        <w:gridCol w:w="3194"/>
        <w:gridCol w:w="1387"/>
      </w:tblGrid>
      <w:tr w:rsidR="00E63DCC">
        <w:trPr>
          <w:trHeight w:hRule="exact" w:val="34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3DCC" w:rsidRDefault="008E4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Degree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3DCC" w:rsidRDefault="008E4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3DCC" w:rsidRDefault="008E4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Institute</w:t>
            </w:r>
          </w:p>
          <w:p w:rsidR="00E63DCC" w:rsidRDefault="00E63DCC">
            <w:pPr>
              <w:rPr>
                <w:sz w:val="28"/>
                <w:szCs w:val="28"/>
              </w:rPr>
            </w:pPr>
          </w:p>
          <w:p w:rsidR="00E63DCC" w:rsidRDefault="00E63DCC">
            <w:pPr>
              <w:rPr>
                <w:sz w:val="28"/>
                <w:szCs w:val="28"/>
              </w:rPr>
            </w:pPr>
          </w:p>
          <w:p w:rsidR="00E63DCC" w:rsidRDefault="00E63DCC">
            <w:pPr>
              <w:jc w:val="center"/>
              <w:rPr>
                <w:sz w:val="28"/>
                <w:szCs w:val="28"/>
              </w:rPr>
            </w:pPr>
          </w:p>
          <w:p w:rsidR="00E63DCC" w:rsidRDefault="00E63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63DCC" w:rsidRDefault="008E4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Percentage</w:t>
            </w:r>
          </w:p>
        </w:tc>
      </w:tr>
      <w:tr w:rsidR="00E63DCC">
        <w:trPr>
          <w:trHeight w:hRule="exact" w:val="85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3DCC" w:rsidRDefault="008E4B9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Pharm D             V year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3DCC" w:rsidRDefault="008E4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3DCC" w:rsidRDefault="008E4B9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BapujiPharmacyCollege, Davangere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63DCC" w:rsidRDefault="008E4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</w:t>
            </w:r>
          </w:p>
        </w:tc>
      </w:tr>
      <w:tr w:rsidR="00E63DCC">
        <w:trPr>
          <w:trHeight w:hRule="exact" w:val="85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3DCC" w:rsidRDefault="008E4B9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Pharm D      </w:t>
            </w:r>
            <w:r>
              <w:rPr>
                <w:color w:val="000000"/>
                <w:sz w:val="28"/>
                <w:szCs w:val="28"/>
              </w:rPr>
              <w:t xml:space="preserve">         IV year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3DCC" w:rsidRDefault="008E4B9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3DCC" w:rsidRDefault="008E4B9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Bapuji Pharmacy College,Davangere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63DCC" w:rsidRDefault="008E4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</w:tr>
      <w:tr w:rsidR="00E63DCC">
        <w:trPr>
          <w:trHeight w:hRule="exact" w:val="86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3DCC" w:rsidRDefault="008E4B9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Pharm D             III year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3DCC" w:rsidRDefault="008E4B9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3DCC" w:rsidRDefault="008E4B9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BapujiPharmacyCollege, Davangere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63DCC" w:rsidRDefault="008E4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</w:t>
            </w:r>
          </w:p>
        </w:tc>
      </w:tr>
      <w:tr w:rsidR="00E63DCC">
        <w:trPr>
          <w:trHeight w:hRule="exact" w:val="86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3DCC" w:rsidRDefault="008E4B9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Pharm D               II year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3DCC" w:rsidRDefault="008E4B9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3DCC" w:rsidRDefault="008E4B9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BapujiPharmacyCollege, Davangere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CC" w:rsidRDefault="008E4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61%</w:t>
            </w:r>
          </w:p>
        </w:tc>
      </w:tr>
      <w:tr w:rsidR="00E63DCC">
        <w:trPr>
          <w:trHeight w:hRule="exact" w:val="86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3DCC" w:rsidRDefault="008E4B9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Pharm D           I year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3DCC" w:rsidRDefault="008E4B9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3DCC" w:rsidRDefault="008E4B9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BapujiPharmacy</w:t>
            </w:r>
            <w:r>
              <w:rPr>
                <w:color w:val="000000"/>
                <w:sz w:val="28"/>
                <w:szCs w:val="28"/>
              </w:rPr>
              <w:t>College, Davangere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CC" w:rsidRDefault="008E4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</w:t>
            </w:r>
          </w:p>
        </w:tc>
      </w:tr>
    </w:tbl>
    <w:p w:rsidR="00E63DCC" w:rsidRDefault="00E63DCC">
      <w:pPr>
        <w:rPr>
          <w:rFonts w:ascii="Verdana" w:hAnsi="Verdana"/>
          <w:sz w:val="20"/>
          <w:szCs w:val="20"/>
        </w:rPr>
      </w:pPr>
    </w:p>
    <w:p w:rsidR="00E63DCC" w:rsidRDefault="008E4B90">
      <w:pPr>
        <w:pStyle w:val="ListParagraph"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Passed Higher Secondary in Science with 74% (2012) - Nicholson Syrian Higher Secondary School ,Thiruvalla, Kerala</w:t>
      </w:r>
    </w:p>
    <w:p w:rsidR="00E63DCC" w:rsidRDefault="00E63DCC">
      <w:pPr>
        <w:pStyle w:val="ListParagraph"/>
        <w:rPr>
          <w:rFonts w:ascii="Verdana" w:hAnsi="Verdana"/>
          <w:b/>
          <w:sz w:val="20"/>
          <w:szCs w:val="20"/>
        </w:rPr>
      </w:pPr>
    </w:p>
    <w:p w:rsidR="00E63DCC" w:rsidRDefault="008E4B90">
      <w:pPr>
        <w:pStyle w:val="ListParagraph"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Passed High School (Class X) with 79% at 2010 from St. Goretti Higher Secondary School</w:t>
      </w:r>
    </w:p>
    <w:p w:rsidR="00E63DCC" w:rsidRDefault="008E4B90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Work Experience:</w:t>
      </w:r>
    </w:p>
    <w:p w:rsidR="00E63DCC" w:rsidRDefault="008E4B9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Completed </w:t>
      </w:r>
      <w:r>
        <w:rPr>
          <w:rFonts w:ascii="Verdana" w:hAnsi="Verdana"/>
          <w:sz w:val="20"/>
          <w:szCs w:val="20"/>
        </w:rPr>
        <w:t>internship at SS Institute of Research and Medical Sciences, Davangere, Karnataka, providing Clinical and Hospital Pharmacy services inGeneral Medicine, Gynaecology and Obstetrics, Paediatrics, Orthopaedics</w:t>
      </w:r>
    </w:p>
    <w:p w:rsidR="00E63DCC" w:rsidRDefault="008E4B90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Job Responsibilities:</w:t>
      </w:r>
    </w:p>
    <w:p w:rsidR="00E63DCC" w:rsidRDefault="008E4B90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Functioning as Drug </w:t>
      </w:r>
      <w:r>
        <w:rPr>
          <w:rFonts w:ascii="Verdana" w:hAnsi="Verdana"/>
          <w:sz w:val="20"/>
          <w:szCs w:val="20"/>
        </w:rPr>
        <w:t>Information Consultant for queries of the Health Care Professionals (Modified Systematic Approach).</w:t>
      </w:r>
    </w:p>
    <w:p w:rsidR="00E63DCC" w:rsidRDefault="008E4B90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Reporting of Adverse Drug Reactions in consultation with the Physicians and supporting literatures and provide Drug Alert Cards (Yellow Card) to the patient</w:t>
      </w:r>
      <w:r>
        <w:rPr>
          <w:rFonts w:ascii="Verdana" w:hAnsi="Verdana"/>
          <w:sz w:val="20"/>
          <w:szCs w:val="20"/>
        </w:rPr>
        <w:t>s presenting with the symptoms.</w:t>
      </w:r>
    </w:p>
    <w:p w:rsidR="00E63DCC" w:rsidRDefault="008E4B90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Recommend appropriate drug therapy to physicians, monitor therapy per protocol and initiate appropriate formulary procedures.</w:t>
      </w:r>
    </w:p>
    <w:p w:rsidR="00E63DCC" w:rsidRDefault="008E4B90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Conduct discussions with the Doctors, PGs, interns and Pharmacy Interns on rational use of drugs f</w:t>
      </w:r>
      <w:r>
        <w:rPr>
          <w:rFonts w:ascii="Verdana" w:hAnsi="Verdana"/>
          <w:sz w:val="20"/>
          <w:szCs w:val="20"/>
        </w:rPr>
        <w:t>or various disease conditions presenting to the hospital.</w:t>
      </w:r>
    </w:p>
    <w:p w:rsidR="00E63DCC" w:rsidRDefault="008E4B90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Communicate effectively with nursesother pharmacists and physicians.</w:t>
      </w:r>
    </w:p>
    <w:p w:rsidR="00E63DCC" w:rsidRDefault="008E4B90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Attended pre-ward rounds and ward rounds.</w:t>
      </w:r>
    </w:p>
    <w:p w:rsidR="00E63DCC" w:rsidRDefault="008E4B90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Conducted patient history interviews and patient counselling.</w:t>
      </w:r>
    </w:p>
    <w:p w:rsidR="00E63DCC" w:rsidRDefault="008E4B90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Presented Case studies </w:t>
      </w:r>
      <w:r>
        <w:rPr>
          <w:rFonts w:ascii="Verdana" w:hAnsi="Verdana"/>
          <w:sz w:val="20"/>
          <w:szCs w:val="20"/>
        </w:rPr>
        <w:t>focusing the pharmacotherapy of certain diseases.</w:t>
      </w:r>
    </w:p>
    <w:p w:rsidR="00E63DCC" w:rsidRDefault="008E4B90">
      <w:pPr>
        <w:rPr>
          <w:rFonts w:ascii="Verdana" w:hAnsi="Verdana" w:cs="Arial"/>
          <w:b/>
          <w:color w:val="000000"/>
          <w:sz w:val="24"/>
          <w:szCs w:val="24"/>
          <w:u w:val="single"/>
        </w:rPr>
      </w:pPr>
      <w:r>
        <w:rPr>
          <w:rFonts w:ascii="Verdana" w:hAnsi="Verdana" w:cs="Arial"/>
          <w:b/>
          <w:color w:val="000000"/>
          <w:sz w:val="24"/>
          <w:szCs w:val="24"/>
          <w:u w:val="single"/>
        </w:rPr>
        <w:t>Achievements/Projects/ Conferences/ Other Activities:</w:t>
      </w:r>
    </w:p>
    <w:p w:rsidR="00E63DCC" w:rsidRDefault="008E4B90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Got Second Prize for presenting a poster title </w:t>
      </w:r>
      <w:r>
        <w:rPr>
          <w:rFonts w:ascii="Verdana" w:hAnsi="Verdana"/>
          <w:b/>
          <w:sz w:val="20"/>
          <w:szCs w:val="20"/>
        </w:rPr>
        <w:t xml:space="preserve">“Identification and Evaluation of Drug related problems and its prevalence in medical and emergency ward </w:t>
      </w:r>
      <w:r>
        <w:rPr>
          <w:rFonts w:ascii="Verdana" w:hAnsi="Verdana"/>
          <w:b/>
          <w:sz w:val="20"/>
          <w:szCs w:val="20"/>
        </w:rPr>
        <w:t>of a tertiary care teaching hospital”</w:t>
      </w:r>
      <w:r>
        <w:rPr>
          <w:rFonts w:ascii="Verdana" w:hAnsi="Verdana"/>
          <w:sz w:val="20"/>
          <w:szCs w:val="20"/>
        </w:rPr>
        <w:t xml:space="preserve"> in one day national seminar organized by Bapuji Pharmacy College and SSIMS &amp; RC, Davangere on 11th November 2017.</w:t>
      </w:r>
    </w:p>
    <w:p w:rsidR="00E63DCC" w:rsidRDefault="008E4B90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Participated as student delegate in the 8th International Conference and Pharmacy Practice Module - Adva</w:t>
      </w:r>
      <w:r>
        <w:rPr>
          <w:rFonts w:ascii="Verdana" w:hAnsi="Verdana"/>
          <w:sz w:val="20"/>
          <w:szCs w:val="20"/>
        </w:rPr>
        <w:t>nced Learning Series - VIII Gastro intestinal and Liver Disorders. (Pharmacokinetics, Medication Therapy Management, Treatment) organized by Al Shifa College of Pharmacy, at Shifa Conventional Centre, Perinthalmanna.</w:t>
      </w:r>
    </w:p>
    <w:p w:rsidR="00E63DCC" w:rsidRDefault="008E4B90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Underwent 2 years of Hospital Training </w:t>
      </w:r>
      <w:r>
        <w:rPr>
          <w:rFonts w:ascii="Verdana" w:hAnsi="Verdana"/>
          <w:sz w:val="20"/>
          <w:szCs w:val="20"/>
        </w:rPr>
        <w:t>at SSIMS &amp; RC, Davangere as a part of curriculum.</w:t>
      </w:r>
    </w:p>
    <w:p w:rsidR="00E63DCC" w:rsidRDefault="008E4B90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Actively participated in Awareness Campaigning on World AIDS Day.</w:t>
      </w:r>
    </w:p>
    <w:p w:rsidR="00E63DCC" w:rsidRDefault="008E4B90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 years of experience in handling Case sheets and providing various therapeutic, hospital and clinical pharmacy services in SS Institute of </w:t>
      </w:r>
      <w:r>
        <w:rPr>
          <w:rFonts w:ascii="Verdana" w:hAnsi="Verdana"/>
          <w:sz w:val="20"/>
          <w:szCs w:val="20"/>
        </w:rPr>
        <w:t xml:space="preserve">Medical Science &amp; Research Centre, Davangere.  </w:t>
      </w:r>
    </w:p>
    <w:p w:rsidR="00E63DCC" w:rsidRDefault="008E4B90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Participated and presented a post in the One day National Seminar on “The Evaluation of Modern Trends in Pharmacy Practice” Organized by Bapuji Pharmacy College and SS Institute of Medical Sciences and Resear</w:t>
      </w:r>
      <w:r>
        <w:rPr>
          <w:rFonts w:ascii="Verdana" w:hAnsi="Verdana"/>
          <w:sz w:val="20"/>
          <w:szCs w:val="20"/>
        </w:rPr>
        <w:t xml:space="preserve">ch Centre, Davangere on 11th November 2017.   </w:t>
      </w:r>
    </w:p>
    <w:p w:rsidR="00E63DCC" w:rsidRDefault="008E4B90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Poster presentation at “Identification and Evaluation of Drug related problems and its prevalence in medical and emergency ward of a tertiary care teaching hospital” Organized at Bapuji Pharmacy College and SS</w:t>
      </w:r>
      <w:r>
        <w:rPr>
          <w:rFonts w:ascii="Verdana" w:hAnsi="Verdana"/>
          <w:sz w:val="20"/>
          <w:szCs w:val="20"/>
        </w:rPr>
        <w:t xml:space="preserve"> Institute of Medical Science and Research Centre, Davangere on 11th November 2017.</w:t>
      </w:r>
    </w:p>
    <w:p w:rsidR="00E63DCC" w:rsidRDefault="008E4B90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Personal Details: -</w:t>
      </w:r>
    </w:p>
    <w:p w:rsidR="00E63DCC" w:rsidRDefault="008E4B90">
      <w:pPr>
        <w:pStyle w:val="NoSpacing"/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Age and Year of Birth </w:t>
      </w:r>
      <w:r>
        <w:rPr>
          <w:rFonts w:ascii="Verdana" w:hAnsi="Verdana"/>
          <w:sz w:val="20"/>
          <w:szCs w:val="20"/>
        </w:rPr>
        <w:tab/>
        <w:t>: 1994, 24 Years.</w:t>
      </w:r>
    </w:p>
    <w:p w:rsidR="00E63DCC" w:rsidRDefault="008E4B90">
      <w:pPr>
        <w:pStyle w:val="NoSpacing"/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Nationality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Indian</w:t>
      </w:r>
    </w:p>
    <w:p w:rsidR="00E63DCC" w:rsidRDefault="008E4B90">
      <w:pPr>
        <w:pStyle w:val="NoSpacing"/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Sex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Fe-male</w:t>
      </w:r>
    </w:p>
    <w:p w:rsidR="00E63DCC" w:rsidRDefault="008E4B90">
      <w:pPr>
        <w:pStyle w:val="NoSpacing"/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Marital Status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Single</w:t>
      </w:r>
    </w:p>
    <w:p w:rsidR="00E63DCC" w:rsidRDefault="008E4B90">
      <w:pPr>
        <w:pStyle w:val="NoSpacing"/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Driving License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Indian Driving License</w:t>
      </w:r>
    </w:p>
    <w:p w:rsidR="00E63DCC" w:rsidRDefault="00E63DCC">
      <w:pPr>
        <w:pStyle w:val="NoSpacing"/>
        <w:rPr>
          <w:rFonts w:ascii="Verdana" w:hAnsi="Verdana"/>
          <w:sz w:val="20"/>
          <w:szCs w:val="20"/>
        </w:rPr>
      </w:pPr>
    </w:p>
    <w:p w:rsidR="00E63DCC" w:rsidRDefault="00E63DCC">
      <w:pPr>
        <w:pStyle w:val="NoSpacing"/>
        <w:rPr>
          <w:rFonts w:ascii="Verdana" w:hAnsi="Verdana"/>
          <w:b/>
          <w:sz w:val="24"/>
          <w:szCs w:val="24"/>
        </w:rPr>
      </w:pPr>
    </w:p>
    <w:p w:rsidR="00E63DCC" w:rsidRDefault="00E63DCC">
      <w:pPr>
        <w:pStyle w:val="NoSpacing"/>
        <w:rPr>
          <w:rFonts w:ascii="Verdana" w:hAnsi="Verdana"/>
          <w:b/>
          <w:sz w:val="24"/>
          <w:szCs w:val="24"/>
        </w:rPr>
      </w:pPr>
    </w:p>
    <w:p w:rsidR="00E63DCC" w:rsidRDefault="00E63DCC">
      <w:pPr>
        <w:pStyle w:val="NoSpacing"/>
        <w:rPr>
          <w:rFonts w:ascii="Verdana" w:hAnsi="Verdana"/>
          <w:b/>
          <w:sz w:val="24"/>
          <w:szCs w:val="24"/>
        </w:rPr>
      </w:pPr>
    </w:p>
    <w:p w:rsidR="00E63DCC" w:rsidRDefault="00E63DCC">
      <w:pPr>
        <w:pStyle w:val="NoSpacing"/>
        <w:rPr>
          <w:rFonts w:ascii="Verdana" w:hAnsi="Verdana"/>
          <w:b/>
          <w:sz w:val="24"/>
          <w:szCs w:val="24"/>
        </w:rPr>
      </w:pPr>
    </w:p>
    <w:p w:rsidR="00E63DCC" w:rsidRDefault="00E63DCC">
      <w:pPr>
        <w:pStyle w:val="NoSpacing"/>
        <w:rPr>
          <w:rFonts w:ascii="Verdana" w:hAnsi="Verdana"/>
          <w:b/>
          <w:sz w:val="24"/>
          <w:szCs w:val="24"/>
        </w:rPr>
      </w:pPr>
    </w:p>
    <w:p w:rsidR="00E63DCC" w:rsidRDefault="00E63DCC">
      <w:pPr>
        <w:pStyle w:val="NoSpacing"/>
        <w:rPr>
          <w:rFonts w:ascii="Verdana" w:hAnsi="Verdana"/>
          <w:b/>
          <w:sz w:val="24"/>
          <w:szCs w:val="24"/>
        </w:rPr>
      </w:pPr>
    </w:p>
    <w:p w:rsidR="00E63DCC" w:rsidRDefault="00E63DCC">
      <w:pPr>
        <w:pStyle w:val="NoSpacing"/>
        <w:rPr>
          <w:rFonts w:ascii="Verdana" w:hAnsi="Verdana"/>
          <w:b/>
          <w:sz w:val="24"/>
          <w:szCs w:val="24"/>
        </w:rPr>
      </w:pPr>
    </w:p>
    <w:p w:rsidR="00E63DCC" w:rsidRDefault="008E4B90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lastRenderedPageBreak/>
        <w:t>Personal Skills:</w:t>
      </w:r>
      <w:r>
        <w:rPr>
          <w:rFonts w:ascii="Verdana" w:hAnsi="Verdana"/>
          <w:b/>
          <w:sz w:val="24"/>
          <w:szCs w:val="24"/>
        </w:rPr>
        <w:t xml:space="preserve"> -</w:t>
      </w:r>
    </w:p>
    <w:p w:rsidR="00E63DCC" w:rsidRDefault="00E63DCC">
      <w:pPr>
        <w:pStyle w:val="NoSpacing"/>
        <w:rPr>
          <w:rFonts w:ascii="Verdana" w:hAnsi="Verdana"/>
          <w:sz w:val="20"/>
          <w:szCs w:val="20"/>
        </w:rPr>
      </w:pPr>
    </w:p>
    <w:p w:rsidR="00E63DCC" w:rsidRDefault="008E4B9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Effective communication skills</w:t>
      </w:r>
    </w:p>
    <w:p w:rsidR="00E63DCC" w:rsidRDefault="008E4B9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Competency of skills in speciality area.</w:t>
      </w:r>
    </w:p>
    <w:p w:rsidR="00E63DCC" w:rsidRDefault="008E4B9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Good Interpersonal skills</w:t>
      </w:r>
    </w:p>
    <w:p w:rsidR="00E63DCC" w:rsidRDefault="008E4B9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Ability to recognize own development needs.</w:t>
      </w:r>
    </w:p>
    <w:p w:rsidR="00E63DCC" w:rsidRDefault="008E4B9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Ability to work as an efficient team member.</w:t>
      </w:r>
    </w:p>
    <w:p w:rsidR="00E63DCC" w:rsidRDefault="008E4B9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Sincere, Responsive, Quick learner and </w:t>
      </w:r>
      <w:r>
        <w:rPr>
          <w:rFonts w:ascii="Verdana" w:hAnsi="Verdana"/>
          <w:sz w:val="20"/>
          <w:szCs w:val="20"/>
        </w:rPr>
        <w:t>Ambitious</w:t>
      </w:r>
    </w:p>
    <w:p w:rsidR="00E63DCC" w:rsidRDefault="00E63DCC">
      <w:pPr>
        <w:pStyle w:val="NoSpacing"/>
        <w:ind w:firstLine="720"/>
        <w:rPr>
          <w:rFonts w:ascii="Verdana" w:hAnsi="Verdana"/>
          <w:sz w:val="20"/>
          <w:szCs w:val="20"/>
        </w:rPr>
      </w:pPr>
    </w:p>
    <w:p w:rsidR="00E63DCC" w:rsidRDefault="008E4B90">
      <w:pPr>
        <w:pStyle w:val="NoSpacing"/>
        <w:ind w:firstLine="720"/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Declaration</w:t>
      </w:r>
    </w:p>
    <w:p w:rsidR="00E63DCC" w:rsidRDefault="00E63DCC">
      <w:pPr>
        <w:pStyle w:val="NoSpacing"/>
        <w:rPr>
          <w:rFonts w:ascii="Verdana" w:hAnsi="Verdana"/>
          <w:sz w:val="20"/>
          <w:szCs w:val="20"/>
        </w:rPr>
      </w:pPr>
    </w:p>
    <w:p w:rsidR="00E63DCC" w:rsidRDefault="008E4B90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hereby declare that the above particulars are true to the best of my knowledgeand belief.</w:t>
      </w:r>
    </w:p>
    <w:p w:rsidR="00E63DCC" w:rsidRDefault="00E63DCC">
      <w:pPr>
        <w:pStyle w:val="NoSpacing"/>
        <w:rPr>
          <w:rFonts w:ascii="Verdana" w:hAnsi="Verdana"/>
          <w:sz w:val="20"/>
          <w:szCs w:val="20"/>
        </w:rPr>
      </w:pPr>
    </w:p>
    <w:p w:rsidR="00E63DCC" w:rsidRDefault="00E63DCC">
      <w:pPr>
        <w:pStyle w:val="NoSpacing"/>
        <w:rPr>
          <w:rFonts w:ascii="Verdana" w:hAnsi="Verdana"/>
          <w:sz w:val="20"/>
          <w:szCs w:val="20"/>
        </w:rPr>
      </w:pPr>
    </w:p>
    <w:p w:rsidR="00E63DCC" w:rsidRDefault="008E4B90">
      <w:pPr>
        <w:pStyle w:val="NoSpacing"/>
        <w:rPr>
          <w:rFonts w:ascii="Verdana" w:hAnsi="Verdana"/>
          <w:b/>
          <w:sz w:val="20"/>
          <w:szCs w:val="20"/>
        </w:rPr>
      </w:pPr>
      <w:bookmarkStart w:id="0" w:name="_GoBack"/>
      <w:r>
        <w:rPr>
          <w:rFonts w:ascii="Verdana" w:hAnsi="Verdana"/>
          <w:b/>
          <w:sz w:val="20"/>
          <w:szCs w:val="20"/>
        </w:rPr>
        <w:t>Date:</w:t>
      </w:r>
    </w:p>
    <w:p w:rsidR="00E63DCC" w:rsidRDefault="00E63DCC">
      <w:pPr>
        <w:pStyle w:val="NoSpacing"/>
        <w:rPr>
          <w:rFonts w:ascii="Verdana" w:hAnsi="Verdana"/>
          <w:b/>
          <w:sz w:val="20"/>
          <w:szCs w:val="20"/>
        </w:rPr>
      </w:pPr>
    </w:p>
    <w:p w:rsidR="00E63DCC" w:rsidRDefault="008E4B90">
      <w:pPr>
        <w:pStyle w:val="NoSpacing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Nissy Mathew</w:t>
      </w:r>
      <w:bookmarkEnd w:id="0"/>
    </w:p>
    <w:sectPr w:rsidR="00E63DCC" w:rsidSect="00E63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3342B8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C2E9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070FF6A"/>
    <w:lvl w:ilvl="0" w:tplc="8DCEB3A0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00632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9C05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2CA72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3DCC"/>
    <w:rsid w:val="008E4B90"/>
    <w:rsid w:val="00E63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D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3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Nibu Mathew</dc:creator>
  <cp:lastModifiedBy>Pc</cp:lastModifiedBy>
  <cp:revision>2</cp:revision>
  <dcterms:created xsi:type="dcterms:W3CDTF">2018-09-06T13:29:00Z</dcterms:created>
  <dcterms:modified xsi:type="dcterms:W3CDTF">2018-09-22T03:07:00Z</dcterms:modified>
</cp:coreProperties>
</file>